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AC" w:rsidRDefault="00826424">
      <w:pPr>
        <w:spacing w:before="120" w:after="60"/>
        <w:jc w:val="center"/>
      </w:pPr>
      <w:r>
        <w:rPr>
          <w:rFonts w:eastAsia="Arial"/>
          <w:b/>
          <w:bCs/>
          <w:color w:val="1A365D"/>
          <w:sz w:val="28"/>
          <w:szCs w:val="28"/>
        </w:rPr>
        <w:t>Programme de formation</w:t>
      </w:r>
    </w:p>
    <w:p w:rsidR="006A5DAC" w:rsidRDefault="00826424">
      <w:pPr>
        <w:spacing w:after="40"/>
        <w:jc w:val="center"/>
      </w:pPr>
      <w:r>
        <w:rPr>
          <w:rFonts w:eastAsia="Arial"/>
          <w:b/>
          <w:bCs/>
          <w:color w:val="2C5282"/>
          <w:sz w:val="22"/>
          <w:szCs w:val="22"/>
        </w:rPr>
        <w:t>Intelligence Artificielle et Économie Circulaire</w:t>
      </w:r>
    </w:p>
    <w:p w:rsidR="006A5DAC" w:rsidRDefault="00826424">
      <w:pPr>
        <w:spacing w:after="60"/>
        <w:jc w:val="center"/>
      </w:pPr>
      <w:r>
        <w:rPr>
          <w:rFonts w:eastAsia="Arial"/>
          <w:b/>
          <w:bCs/>
          <w:color w:val="2C5282"/>
          <w:sz w:val="22"/>
          <w:szCs w:val="22"/>
        </w:rPr>
        <w:t>dans la Production</w:t>
      </w:r>
    </w:p>
    <w:p w:rsidR="006A5DAC" w:rsidRDefault="00826424">
      <w:pPr>
        <w:spacing w:after="160"/>
        <w:jc w:val="center"/>
      </w:pPr>
      <w:r>
        <w:rPr>
          <w:rFonts w:eastAsia="Arial"/>
          <w:color w:val="555555"/>
          <w:sz w:val="16"/>
          <w:szCs w:val="16"/>
        </w:rPr>
        <w:t>(N° de formation: IA-CIRC-202607-CHN)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00"/>
        <w:gridCol w:w="7400"/>
      </w:tblGrid>
      <w:tr w:rsidR="006A5DAC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</w:rPr>
              <w:t>Dates 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</w:rPr>
              <w:t>Selon calendrier (prochaine session à venir – inscription ouverte)</w:t>
            </w:r>
          </w:p>
        </w:tc>
      </w:tr>
      <w:tr w:rsidR="006A5DAC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</w:rPr>
              <w:t>Durée 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</w:rPr>
              <w:t>9 jours (62 heures)</w:t>
            </w:r>
          </w:p>
        </w:tc>
      </w:tr>
      <w:tr w:rsidR="006A5DAC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</w:rPr>
              <w:t>Horaires 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</w:rPr>
              <w:t>9h00 - 17h00 (pause déjeuner 13h00-14h00) — Dernier jour : 6 heures</w:t>
            </w:r>
          </w:p>
        </w:tc>
      </w:tr>
    </w:tbl>
    <w:p w:rsidR="006A5DAC" w:rsidRDefault="00826424">
      <w:pPr>
        <w:spacing w:before="160" w:after="60"/>
      </w:pPr>
      <w:r>
        <w:rPr>
          <w:rFonts w:eastAsia="Arial"/>
          <w:b/>
          <w:bCs/>
          <w:color w:val="1A365D"/>
          <w:sz w:val="20"/>
          <w:szCs w:val="20"/>
        </w:rPr>
        <w:t>Modalités et dispositifs d'exécution de la formation :</w:t>
      </w:r>
    </w:p>
    <w:p w:rsidR="006A5DAC" w:rsidRPr="004B43A1" w:rsidRDefault="00826424">
      <w:pPr>
        <w:spacing w:after="80" w:line="276" w:lineRule="auto"/>
        <w:rPr>
          <w:rFonts w:hint="eastAsia"/>
        </w:rPr>
      </w:pPr>
      <w:r>
        <w:rPr>
          <w:rFonts w:eastAsia="Arial"/>
          <w:color w:val="000000"/>
          <w:sz w:val="17"/>
          <w:szCs w:val="17"/>
        </w:rPr>
        <w:t>En distanciel par LES ÉTOILES LMS (en synchrone via un outil de visioconférence)</w:t>
      </w:r>
      <w:r w:rsidR="004B43A1">
        <w:rPr>
          <w:rFonts w:hint="eastAsia"/>
          <w:color w:val="000000"/>
          <w:sz w:val="17"/>
          <w:szCs w:val="17"/>
        </w:rPr>
        <w:t xml:space="preserve"> ou sur place selon la demande.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Avant la formation : Une convocation vous sera transmise par mail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Outil : Plateforme LES ÉTOILES LMS accessible via un lien dédié pour la connexion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Accès lien sécurisé pour entrer en classe virtuelle, télécharger les cours, répondre aux quiz, passer les te</w:t>
      </w:r>
      <w:r>
        <w:rPr>
          <w:rFonts w:eastAsia="Arial"/>
          <w:sz w:val="17"/>
          <w:szCs w:val="17"/>
        </w:rPr>
        <w:t>sts etc.</w:t>
      </w:r>
    </w:p>
    <w:p w:rsidR="006A5DAC" w:rsidRDefault="00826424">
      <w:pPr>
        <w:pStyle w:val="Paragraphedeliste"/>
        <w:numPr>
          <w:ilvl w:val="0"/>
          <w:numId w:val="2"/>
        </w:numPr>
        <w:spacing w:after="100"/>
      </w:pPr>
      <w:r>
        <w:rPr>
          <w:rFonts w:eastAsia="Arial"/>
          <w:sz w:val="17"/>
          <w:szCs w:val="17"/>
        </w:rPr>
        <w:t>Dispositif d'échange : mail, visio-conférence, chat inter-session, ressources partagées via Google Classroom etc.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00"/>
        <w:gridCol w:w="6400"/>
      </w:tblGrid>
      <w:tr w:rsidR="006A5DAC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  <w:sz w:val="17"/>
                <w:szCs w:val="17"/>
              </w:rPr>
              <w:t>Nombre de participants :</w:t>
            </w:r>
          </w:p>
        </w:tc>
        <w:tc>
          <w:tcPr>
            <w:tcW w:w="6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  <w:sz w:val="17"/>
                <w:szCs w:val="17"/>
              </w:rPr>
              <w:t>Minimum 2 personnes par groupe, maximum 7 personnes.</w:t>
            </w:r>
          </w:p>
        </w:tc>
      </w:tr>
      <w:tr w:rsidR="006A5DAC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  <w:sz w:val="17"/>
                <w:szCs w:val="17"/>
              </w:rPr>
              <w:t>Prérequis pour la formation :</w:t>
            </w:r>
          </w:p>
        </w:tc>
        <w:tc>
          <w:tcPr>
            <w:tcW w:w="6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  <w:sz w:val="17"/>
                <w:szCs w:val="17"/>
              </w:rPr>
              <w:t>Aucun (connaissances de base en production ou développement durable recommandées).</w:t>
            </w:r>
          </w:p>
        </w:tc>
      </w:tr>
      <w:tr w:rsidR="006A5DAC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b/>
                <w:bCs/>
                <w:color w:val="000000"/>
                <w:sz w:val="17"/>
                <w:szCs w:val="17"/>
              </w:rPr>
              <w:t>Prix de la formation :</w:t>
            </w:r>
          </w:p>
        </w:tc>
        <w:tc>
          <w:tcPr>
            <w:tcW w:w="6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6A5DAC" w:rsidRDefault="00826424">
            <w:pPr>
              <w:spacing w:after="80" w:line="276" w:lineRule="auto"/>
            </w:pPr>
            <w:r>
              <w:rPr>
                <w:rFonts w:eastAsia="Arial"/>
                <w:color w:val="000000"/>
                <w:sz w:val="17"/>
                <w:szCs w:val="17"/>
              </w:rPr>
              <w:t>Cours de 62h à 1860 euros.</w:t>
            </w:r>
          </w:p>
        </w:tc>
      </w:tr>
    </w:tbl>
    <w:p w:rsidR="006A5DAC" w:rsidRDefault="00826424">
      <w:pPr>
        <w:spacing w:before="160" w:after="60"/>
      </w:pPr>
      <w:r>
        <w:rPr>
          <w:rFonts w:eastAsia="Arial"/>
          <w:b/>
          <w:bCs/>
          <w:color w:val="1A365D"/>
          <w:sz w:val="20"/>
          <w:szCs w:val="20"/>
        </w:rPr>
        <w:t>Objectifs de la formation :</w:t>
      </w:r>
    </w:p>
    <w:p w:rsidR="006A5DAC" w:rsidRDefault="00826424">
      <w:pPr>
        <w:pStyle w:val="Paragraphedeliste"/>
        <w:numPr>
          <w:ilvl w:val="0"/>
          <w:numId w:val="2"/>
        </w:numPr>
        <w:spacing w:after="50"/>
      </w:pPr>
      <w:r>
        <w:rPr>
          <w:rFonts w:eastAsia="Arial"/>
          <w:sz w:val="17"/>
          <w:szCs w:val="17"/>
        </w:rPr>
        <w:t>Maîtriser les fondements de l'économie circulaire et comprendre le rôle stratégique de l'</w:t>
      </w:r>
      <w:r>
        <w:rPr>
          <w:rFonts w:eastAsia="Arial"/>
          <w:sz w:val="17"/>
          <w:szCs w:val="17"/>
        </w:rPr>
        <w:t>IA comme levier de transformation des modèles de production linéaires vers des boucles fermées.</w:t>
      </w:r>
    </w:p>
    <w:p w:rsidR="006A5DAC" w:rsidRDefault="00826424">
      <w:pPr>
        <w:pStyle w:val="Paragraphedeliste"/>
        <w:numPr>
          <w:ilvl w:val="0"/>
          <w:numId w:val="2"/>
        </w:numPr>
        <w:spacing w:after="50"/>
      </w:pPr>
      <w:r>
        <w:rPr>
          <w:rFonts w:eastAsia="Arial"/>
          <w:sz w:val="17"/>
          <w:szCs w:val="17"/>
        </w:rPr>
        <w:t>Analyser de façon critique les applications concrètes de l'IA (prédictive, generative, vision, optimisation) pour réduire les déchets, prolonger la durée de vie</w:t>
      </w:r>
      <w:r>
        <w:rPr>
          <w:rFonts w:eastAsia="Arial"/>
          <w:sz w:val="17"/>
          <w:szCs w:val="17"/>
        </w:rPr>
        <w:t xml:space="preserve"> des actifs et optimiser les flux de matières dans la production.</w:t>
      </w:r>
    </w:p>
    <w:p w:rsidR="006A5DAC" w:rsidRDefault="00826424">
      <w:pPr>
        <w:pStyle w:val="Paragraphedeliste"/>
        <w:numPr>
          <w:ilvl w:val="0"/>
          <w:numId w:val="2"/>
        </w:numPr>
        <w:spacing w:after="50"/>
      </w:pPr>
      <w:r>
        <w:rPr>
          <w:rFonts w:eastAsia="Arial"/>
          <w:sz w:val="17"/>
          <w:szCs w:val="17"/>
        </w:rPr>
        <w:t>Concevoir des protocoles et outils opérationnels (maintenance prédictive, éco-conception assistée par IA, logistique inverse intelligente, jumeaux numériques) adaptés aux contextes industrie</w:t>
      </w:r>
      <w:r>
        <w:rPr>
          <w:rFonts w:eastAsia="Arial"/>
          <w:sz w:val="17"/>
          <w:szCs w:val="17"/>
        </w:rPr>
        <w:t>ls réels.</w:t>
      </w:r>
    </w:p>
    <w:p w:rsidR="006A5DAC" w:rsidRDefault="00826424">
      <w:pPr>
        <w:pStyle w:val="Paragraphedeliste"/>
        <w:numPr>
          <w:ilvl w:val="0"/>
          <w:numId w:val="2"/>
        </w:numPr>
        <w:spacing w:after="80"/>
      </w:pPr>
      <w:r>
        <w:rPr>
          <w:rFonts w:eastAsia="Arial"/>
          <w:sz w:val="17"/>
          <w:szCs w:val="17"/>
        </w:rPr>
        <w:t>Élaborer des cadres d'évaluation (indicateurs ESG, empreinte carbone, taux de circularité) et anticiper les défis éthiques, data et organisationnels de l'intégration IA-économie circulaire à l'horizon 2030.</w:t>
      </w:r>
    </w:p>
    <w:p w:rsidR="006A5DAC" w:rsidRDefault="00826424" w:rsidP="007B4ADA">
      <w:pPr>
        <w:spacing w:after="80" w:line="276" w:lineRule="auto"/>
      </w:pPr>
      <w:r>
        <w:rPr>
          <w:rFonts w:eastAsia="Arial"/>
          <w:i/>
          <w:iCs/>
          <w:color w:val="000000"/>
          <w:sz w:val="16"/>
          <w:szCs w:val="16"/>
        </w:rPr>
        <w:t>Délais d'accès : Inscription ouverte en</w:t>
      </w:r>
      <w:r>
        <w:rPr>
          <w:rFonts w:eastAsia="Arial"/>
          <w:i/>
          <w:iCs/>
          <w:color w:val="000000"/>
          <w:sz w:val="16"/>
          <w:szCs w:val="16"/>
        </w:rPr>
        <w:t xml:space="preserve"> continu. Les dates exactes de chaque session sont communiquées sur le site et par mail aux inscrits.</w:t>
      </w:r>
    </w:p>
    <w:p w:rsidR="006A5DAC" w:rsidRDefault="00826424">
      <w:pPr>
        <w:spacing w:after="60"/>
      </w:pPr>
      <w:r>
        <w:rPr>
          <w:rFonts w:eastAsia="Arial"/>
          <w:b/>
          <w:bCs/>
          <w:color w:val="1A365D"/>
          <w:sz w:val="20"/>
          <w:szCs w:val="20"/>
        </w:rPr>
        <w:t>Méthodes mobilisées :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Questions-réponses en direct pour encourager l'engagement et l'échange d'expériences industrielles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Simulations d'ateliers (éco-con</w:t>
      </w:r>
      <w:r>
        <w:rPr>
          <w:rFonts w:eastAsia="Arial"/>
          <w:sz w:val="17"/>
          <w:szCs w:val="17"/>
        </w:rPr>
        <w:t>ception, maintenance prédictive, triage intelligent, conception de protocoles circulaires)</w:t>
      </w:r>
    </w:p>
    <w:p w:rsidR="006A5DAC" w:rsidRDefault="00826424">
      <w:pPr>
        <w:pStyle w:val="Paragraphedeliste"/>
        <w:numPr>
          <w:ilvl w:val="0"/>
          <w:numId w:val="2"/>
        </w:numPr>
        <w:spacing w:after="40"/>
      </w:pPr>
      <w:r>
        <w:rPr>
          <w:rFonts w:eastAsia="Arial"/>
          <w:sz w:val="17"/>
          <w:szCs w:val="17"/>
        </w:rPr>
        <w:t>Discussions de groupe pour appliquer les concepts à des contextes locaux (usines, PME, filières automobiles, électronique, sidérurgie, textile...)</w:t>
      </w:r>
    </w:p>
    <w:p w:rsidR="006A5DAC" w:rsidRDefault="00826424">
      <w:pPr>
        <w:pStyle w:val="Paragraphedeliste"/>
        <w:numPr>
          <w:ilvl w:val="0"/>
          <w:numId w:val="2"/>
        </w:numPr>
        <w:spacing w:after="120"/>
      </w:pPr>
      <w:r>
        <w:rPr>
          <w:rFonts w:eastAsia="Arial"/>
          <w:sz w:val="17"/>
          <w:szCs w:val="17"/>
        </w:rPr>
        <w:t xml:space="preserve">Supports visuels, </w:t>
      </w:r>
      <w:r>
        <w:rPr>
          <w:rFonts w:eastAsia="Arial"/>
          <w:sz w:val="17"/>
          <w:szCs w:val="17"/>
        </w:rPr>
        <w:t>études de cas réels (usines phares chinoises et européennes), grilles d'évaluation et outils différenciés selon le niveau des participants</w:t>
      </w:r>
    </w:p>
    <w:p w:rsidR="006A5DAC" w:rsidRDefault="00826424">
      <w:pPr>
        <w:spacing w:after="60"/>
      </w:pPr>
      <w:r>
        <w:rPr>
          <w:rFonts w:eastAsia="Arial"/>
          <w:b/>
          <w:bCs/>
          <w:color w:val="1A365D"/>
          <w:sz w:val="20"/>
          <w:szCs w:val="20"/>
        </w:rPr>
        <w:t>Modalités de suivi et d'évaluation :</w:t>
      </w:r>
    </w:p>
    <w:p w:rsidR="006A5DAC" w:rsidRDefault="00826424">
      <w:pPr>
        <w:spacing w:after="4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Assiduité : </w:t>
      </w:r>
      <w:r>
        <w:rPr>
          <w:rFonts w:eastAsia="Arial"/>
          <w:color w:val="000000"/>
          <w:sz w:val="17"/>
          <w:szCs w:val="17"/>
        </w:rPr>
        <w:t>Les formateurs rempliront une feuille d'</w:t>
      </w:r>
      <w:r>
        <w:rPr>
          <w:rFonts w:eastAsia="Arial"/>
          <w:color w:val="000000"/>
          <w:sz w:val="17"/>
          <w:szCs w:val="17"/>
        </w:rPr>
        <w:t>émargement (par séance / par stagiaire). Les absences et retards seront mentionnés.</w:t>
      </w:r>
    </w:p>
    <w:p w:rsidR="006A5DAC" w:rsidRDefault="00826424">
      <w:pPr>
        <w:spacing w:after="12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Atteinte des objectifs : </w:t>
      </w:r>
      <w:r>
        <w:rPr>
          <w:rFonts w:eastAsia="Arial"/>
          <w:color w:val="000000"/>
          <w:sz w:val="17"/>
          <w:szCs w:val="17"/>
        </w:rPr>
        <w:t>Fiche de suivi individuelle à chaque fin de séance (progression, points à revoir, résultats aux quiz et projets pratiques).</w:t>
      </w:r>
    </w:p>
    <w:p w:rsidR="006A5DAC" w:rsidRDefault="00826424">
      <w:pPr>
        <w:spacing w:after="60"/>
      </w:pPr>
      <w:r>
        <w:rPr>
          <w:rFonts w:eastAsia="Arial"/>
          <w:b/>
          <w:bCs/>
          <w:color w:val="1A365D"/>
          <w:sz w:val="20"/>
          <w:szCs w:val="20"/>
        </w:rPr>
        <w:t>Accessibilité PSH/PMR :</w:t>
      </w:r>
    </w:p>
    <w:p w:rsidR="006A5DAC" w:rsidRDefault="00826424">
      <w:pPr>
        <w:spacing w:after="4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PSH : </w:t>
      </w:r>
      <w:r>
        <w:rPr>
          <w:rFonts w:eastAsia="Arial"/>
          <w:color w:val="000000"/>
          <w:sz w:val="17"/>
          <w:szCs w:val="17"/>
        </w:rPr>
        <w:t>La formation est accessible aux personnes en situation de handicap. Une étude des conditions d'accès et des moyens de compensation sera réalisée en amont de l'inscription si nécessaire.</w:t>
      </w:r>
    </w:p>
    <w:p w:rsidR="006A5DAC" w:rsidRDefault="00826424">
      <w:pPr>
        <w:spacing w:after="4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PMR : </w:t>
      </w:r>
      <w:r>
        <w:rPr>
          <w:rFonts w:eastAsia="Arial"/>
          <w:color w:val="000000"/>
          <w:sz w:val="17"/>
          <w:szCs w:val="17"/>
        </w:rPr>
        <w:t>Le dispositif distanciel est accessible aux PMR.</w:t>
      </w:r>
    </w:p>
    <w:p w:rsidR="006A5DAC" w:rsidRDefault="00826424">
      <w:pPr>
        <w:spacing w:after="80" w:line="276" w:lineRule="auto"/>
      </w:pPr>
      <w:r>
        <w:rPr>
          <w:rFonts w:eastAsia="Arial"/>
          <w:color w:val="000000"/>
          <w:sz w:val="17"/>
          <w:szCs w:val="17"/>
        </w:rPr>
        <w:t>En cas d</w:t>
      </w:r>
      <w:r>
        <w:rPr>
          <w:rFonts w:eastAsia="Arial"/>
          <w:color w:val="000000"/>
          <w:sz w:val="17"/>
          <w:szCs w:val="17"/>
        </w:rPr>
        <w:t>e besoin spécifique, contacter le référent handicap : M. ZHANG – +33(0)769907022</w:t>
      </w:r>
    </w:p>
    <w:p w:rsidR="006A5DAC" w:rsidRDefault="00826424">
      <w:pPr>
        <w:spacing w:after="120" w:line="276" w:lineRule="auto"/>
      </w:pPr>
      <w:r>
        <w:rPr>
          <w:rFonts w:eastAsia="Arial"/>
          <w:i/>
          <w:iCs/>
          <w:color w:val="000000"/>
          <w:sz w:val="16"/>
          <w:szCs w:val="16"/>
        </w:rPr>
        <w:t>Planning détaillé fourni ci-après.</w:t>
      </w:r>
    </w:p>
    <w:p w:rsidR="006A5DAC" w:rsidRDefault="00826424">
      <w:r>
        <w:br w:type="page"/>
      </w:r>
    </w:p>
    <w:p w:rsidR="006A5DAC" w:rsidRDefault="00826424">
      <w:pPr>
        <w:spacing w:after="160"/>
        <w:jc w:val="center"/>
      </w:pPr>
      <w:r>
        <w:rPr>
          <w:rFonts w:eastAsia="Arial"/>
          <w:b/>
          <w:bCs/>
          <w:color w:val="1A365D"/>
          <w:sz w:val="24"/>
          <w:szCs w:val="24"/>
        </w:rPr>
        <w:lastRenderedPageBreak/>
        <w:t>1. PLANNING DÉTAILLÉ</w:t>
      </w:r>
    </w:p>
    <w:p w:rsidR="006A5DAC" w:rsidRDefault="00826424">
      <w:pPr>
        <w:spacing w:before="8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1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Fondements de l'économie circulaire et positionnement stratégique de l'IA dans la production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Introduction à l'économie circulaire vs modèle linéaire – Cadre théorique (Ellen MacArthur, normes ISO, politiques chinoises et européennes) – Rôle de l'IA comme enabler de la circularité – Cartographie des flux de matières et d'énergie en p</w:t>
      </w:r>
      <w:r>
        <w:rPr>
          <w:rFonts w:eastAsia="Arial"/>
          <w:color w:val="000000"/>
          <w:sz w:val="17"/>
          <w:szCs w:val="17"/>
        </w:rPr>
        <w:t>roduction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Études et rapports 2023-2026 (WEF, McKinsey, OCDE, politiques chinoises « AI + Manufacturing »)</w:t>
      </w:r>
    </w:p>
    <w:p w:rsidR="006A5DAC" w:rsidRDefault="00826424">
      <w:pPr>
        <w:pStyle w:val="Paragraphedeliste"/>
        <w:numPr>
          <w:ilvl w:val="0"/>
          <w:numId w:val="3"/>
        </w:numPr>
        <w:spacing w:after="40"/>
      </w:pPr>
      <w:r>
        <w:rPr>
          <w:rFonts w:eastAsia="Arial"/>
          <w:sz w:val="16"/>
          <w:szCs w:val="16"/>
        </w:rPr>
        <w:t>Indicateurs clés de circularité (taux de recyclage, intensité matière, durée de vie des actifs)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n°1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Compléter un table</w:t>
      </w:r>
      <w:r>
        <w:rPr>
          <w:rFonts w:eastAsia="Arial"/>
          <w:sz w:val="16"/>
          <w:szCs w:val="16"/>
        </w:rPr>
        <w:t>au comparatif de 6 leviers IA pour la circularité (risques / bénéfices / maturité technologique)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Répondre à 6 questions ouvertes sur les freins et opportunités dans son propre contexte industriel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2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Éco-conception et design génératif assisté pa</w:t>
      </w:r>
      <w:r>
        <w:rPr>
          <w:rFonts w:eastAsia="Arial"/>
          <w:color w:val="000000"/>
          <w:sz w:val="17"/>
          <w:szCs w:val="17"/>
        </w:rPr>
        <w:t>r IA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Principes de Design for Circularity – Outils d'IA générative et jumeaux numériques pour optimiser la consommation de matière, la modularité et la recyclabilité – Cas d'usage (automobile, électronique, packaging)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n°2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Concevoir un brief d'éco-conception pour un produit industriel simple (critères IA + circularité)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Analyser 4 études de cas et identifier les gains potentiels de matière et de CO₂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3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 xml:space="preserve">Maintenance prédictive et prolongation de </w:t>
      </w:r>
      <w:r>
        <w:rPr>
          <w:rFonts w:eastAsia="Arial"/>
          <w:color w:val="000000"/>
          <w:sz w:val="17"/>
          <w:szCs w:val="17"/>
        </w:rPr>
        <w:t>la durée de vie des actifs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Capteurs, modèles ML et jumeaux numériques pour la maintenance prédictive – Lien direct avec la réduction des déchets et la prolongation d'actifs – ROI et indicateurs de performance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 xml:space="preserve">Devoir pratique </w:t>
      </w:r>
      <w:r>
        <w:rPr>
          <w:rFonts w:eastAsia="Arial"/>
          <w:color w:val="000000"/>
          <w:sz w:val="17"/>
          <w:szCs w:val="17"/>
        </w:rPr>
        <w:t>n°3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Construire un arbre de décision simplifié pour une stratégie de maintenance prédictive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Calculer les gains estimés (heures de downtime évitées, prolongation de vie, réduction de pièces de rechange)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4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Optimisation des processus de production, énergie et réduction des rebuts par IA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 xml:space="preserve">Optimisation multi-objectifs (qualité, énergie, matière) – Vision par ordinateur pour le contrôle qualité en ligne – Réduction des rebuts et de la consommation </w:t>
      </w:r>
      <w:r>
        <w:rPr>
          <w:rFonts w:eastAsia="Arial"/>
          <w:color w:val="000000"/>
          <w:sz w:val="17"/>
          <w:szCs w:val="17"/>
        </w:rPr>
        <w:t>énergétique – Exemples d'usines intelligentes chinoises et européennes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n°4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Analyser un jeu de données simplifié de production et proposer des actions d'optimisation IA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Rédiger une fiche action « réduction des rebuts » avec i</w:t>
      </w:r>
      <w:r>
        <w:rPr>
          <w:rFonts w:eastAsia="Arial"/>
          <w:sz w:val="16"/>
          <w:szCs w:val="16"/>
        </w:rPr>
        <w:t>ndicateurs mesurables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5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Logistique inverse, reconditionnement et décision IA en fin de vie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Chaînes logistiques inverses – Évaluation automatique de l'état des produits retournés – Décision reconditionnement / revente / démantèle</w:t>
      </w:r>
      <w:r>
        <w:rPr>
          <w:rFonts w:eastAsia="Arial"/>
          <w:color w:val="000000"/>
          <w:sz w:val="17"/>
          <w:szCs w:val="17"/>
        </w:rPr>
        <w:t>ment / recyclage – Optimisation des flux de retour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n°5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Concevoir un protocole de décision multi-critères (état, coût, impact carbone, demande marché) pour un produit retourné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 xml:space="preserve">Cartographier une boucle inverse simplifiée pour </w:t>
      </w:r>
      <w:r>
        <w:rPr>
          <w:rFonts w:eastAsia="Arial"/>
          <w:sz w:val="16"/>
          <w:szCs w:val="16"/>
        </w:rPr>
        <w:t>une filière choisie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6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Jumeaux numériques, traçabilité des matières et passeports numériques de produits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Digital Product Passport (DPP) – Traçabilité de bout en bout – Simulation de scénarios circulaires avec jumeaux numériques –</w:t>
      </w:r>
      <w:r>
        <w:rPr>
          <w:rFonts w:eastAsia="Arial"/>
          <w:color w:val="000000"/>
          <w:sz w:val="17"/>
          <w:szCs w:val="17"/>
        </w:rPr>
        <w:t xml:space="preserve"> Intégration avec les systèmes MES / ERP / PLM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n°6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Définir les données minimales d'un passeport numérique pour un produit industriel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Proposer une architecture simplifiée de jumeau numérique orienté circularité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7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Indicateurs ESG, reporting et mesure de la circularité assistée par IA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Indicateurs de performance circulaire et ESG – Automatisation du reporting carbone et matière – Alignement avec les réglementations (CSRD, taxonomie UE, politique</w:t>
      </w:r>
      <w:r>
        <w:rPr>
          <w:rFonts w:eastAsia="Arial"/>
          <w:color w:val="000000"/>
          <w:sz w:val="17"/>
          <w:szCs w:val="17"/>
        </w:rPr>
        <w:t>s chinoises) – Tableaux de bord intelligents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n°7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Construire un tableau de bord minimal de circularité (5-7 KPI) pour une usine type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lastRenderedPageBreak/>
        <w:t>Analyser 3 rapports d'entreprises et identifier les points d'amélioration grâce à l'IA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8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Défis, éthique, gouvernance des données et feuille de route de transformation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Consommation énergétique de l'IA – Qualité et partage des données – Compétences et changement organisationnel – Gouvernance et risques – Constructio</w:t>
      </w:r>
      <w:r>
        <w:rPr>
          <w:rFonts w:eastAsia="Arial"/>
          <w:color w:val="000000"/>
          <w:sz w:val="17"/>
          <w:szCs w:val="17"/>
        </w:rPr>
        <w:t>n d'une feuille de route IA × Circularité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17h00 : </w:t>
      </w:r>
      <w:r>
        <w:rPr>
          <w:rFonts w:eastAsia="Arial"/>
          <w:color w:val="000000"/>
          <w:sz w:val="17"/>
          <w:szCs w:val="17"/>
        </w:rPr>
        <w:t>Devoir pratique n°8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Rédiger une feuille de route à 18-24 mois pour intégrer l'IA dans une démarche circulaire (priorités, ressources, risques)</w:t>
      </w:r>
    </w:p>
    <w:p w:rsidR="006A5DAC" w:rsidRDefault="00826424">
      <w:pPr>
        <w:pStyle w:val="Paragraphedeliste"/>
        <w:numPr>
          <w:ilvl w:val="0"/>
          <w:numId w:val="3"/>
        </w:numPr>
        <w:spacing w:after="80"/>
      </w:pPr>
      <w:r>
        <w:rPr>
          <w:rFonts w:eastAsia="Arial"/>
          <w:sz w:val="16"/>
          <w:szCs w:val="16"/>
        </w:rPr>
        <w:t>Présentation courte et feedback collectif</w:t>
      </w:r>
    </w:p>
    <w:p w:rsidR="006A5DAC" w:rsidRDefault="00826424">
      <w:pPr>
        <w:spacing w:before="60" w:after="80" w:line="276" w:lineRule="auto"/>
      </w:pPr>
      <w:r>
        <w:rPr>
          <w:rFonts w:eastAsia="Arial"/>
          <w:b/>
          <w:bCs/>
          <w:color w:val="1A365D"/>
          <w:sz w:val="19"/>
          <w:szCs w:val="19"/>
        </w:rPr>
        <w:t>Jour 9 (6 heu</w:t>
      </w:r>
      <w:r>
        <w:rPr>
          <w:rFonts w:eastAsia="Arial"/>
          <w:b/>
          <w:bCs/>
          <w:color w:val="1A365D"/>
          <w:sz w:val="19"/>
          <w:szCs w:val="19"/>
        </w:rPr>
        <w:t>res)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  <w:sz w:val="17"/>
          <w:szCs w:val="17"/>
        </w:rPr>
        <w:t xml:space="preserve">Thème : </w:t>
      </w:r>
      <w:r>
        <w:rPr>
          <w:rFonts w:eastAsia="Arial"/>
          <w:color w:val="000000"/>
          <w:sz w:val="17"/>
          <w:szCs w:val="17"/>
        </w:rPr>
        <w:t>Synthèse, cas intégrateurs et évaluation finale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9h00 – 13h00 : </w:t>
      </w:r>
      <w:r>
        <w:rPr>
          <w:rFonts w:eastAsia="Arial"/>
          <w:color w:val="000000"/>
          <w:sz w:val="17"/>
          <w:szCs w:val="17"/>
        </w:rPr>
        <w:t>Synthèse des 8 jours – Retours d'expérience – Étude de cas intégrateur (usine complète) – Perspectives 2030 (compétitivité, réglementations, technologies émergentes)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2C5282"/>
          <w:sz w:val="17"/>
          <w:szCs w:val="17"/>
        </w:rPr>
        <w:t xml:space="preserve">14h00 – 16h00 </w:t>
      </w:r>
      <w:r>
        <w:rPr>
          <w:rFonts w:eastAsia="Arial"/>
          <w:b/>
          <w:bCs/>
          <w:color w:val="2C5282"/>
          <w:sz w:val="17"/>
          <w:szCs w:val="17"/>
        </w:rPr>
        <w:t xml:space="preserve">: </w:t>
      </w:r>
      <w:r>
        <w:rPr>
          <w:rFonts w:eastAsia="Arial"/>
          <w:color w:val="000000"/>
          <w:sz w:val="17"/>
          <w:szCs w:val="17"/>
        </w:rPr>
        <w:t>Examen final écrit + restitution</w:t>
      </w:r>
    </w:p>
    <w:p w:rsidR="006A5DAC" w:rsidRDefault="00826424">
      <w:pPr>
        <w:pStyle w:val="Paragraphedeliste"/>
        <w:numPr>
          <w:ilvl w:val="0"/>
          <w:numId w:val="3"/>
        </w:numPr>
        <w:spacing w:after="30"/>
      </w:pPr>
      <w:r>
        <w:rPr>
          <w:rFonts w:eastAsia="Arial"/>
          <w:sz w:val="16"/>
          <w:szCs w:val="16"/>
        </w:rPr>
        <w:t>15 questions théoriques et d'application (QCM + questions ouvertes)</w:t>
      </w:r>
    </w:p>
    <w:p w:rsidR="006A5DAC" w:rsidRDefault="00826424">
      <w:pPr>
        <w:pStyle w:val="Paragraphedeliste"/>
        <w:numPr>
          <w:ilvl w:val="0"/>
          <w:numId w:val="3"/>
        </w:numPr>
        <w:spacing w:after="120"/>
      </w:pPr>
      <w:r>
        <w:rPr>
          <w:rFonts w:eastAsia="Arial"/>
          <w:sz w:val="16"/>
          <w:szCs w:val="16"/>
        </w:rPr>
        <w:t>Évaluation des acquis et remise des attestations de formation</w:t>
      </w:r>
    </w:p>
    <w:p w:rsidR="006A5DAC" w:rsidRDefault="00826424">
      <w:pPr>
        <w:spacing w:after="100" w:line="276" w:lineRule="auto"/>
      </w:pPr>
      <w:r>
        <w:rPr>
          <w:rFonts w:eastAsia="Arial"/>
          <w:i/>
          <w:iCs/>
          <w:color w:val="000000"/>
          <w:sz w:val="15"/>
          <w:szCs w:val="15"/>
        </w:rPr>
        <w:t>Ce programme peut faire l'objet d'ajustements mineurs en fonction du profil des participant</w:t>
      </w:r>
      <w:r>
        <w:rPr>
          <w:rFonts w:eastAsia="Arial"/>
          <w:i/>
          <w:iCs/>
          <w:color w:val="000000"/>
          <w:sz w:val="15"/>
          <w:szCs w:val="15"/>
        </w:rPr>
        <w:t>s et de l'évolution des technologies et réglementations. Les formateurs s'adaptent aux retours en temps réel pour maximiser la valeur opérationnelle.</w:t>
      </w:r>
    </w:p>
    <w:p w:rsidR="006A5DAC" w:rsidRDefault="00826424">
      <w:pPr>
        <w:spacing w:after="80" w:line="276" w:lineRule="auto"/>
      </w:pPr>
      <w:r>
        <w:rPr>
          <w:rFonts w:eastAsia="Arial"/>
          <w:b/>
          <w:bCs/>
          <w:color w:val="000000"/>
        </w:rPr>
        <w:t>Total : 62 heures de formation (8 jours × 7 h + 1 jour × 6 h)</w:t>
      </w:r>
    </w:p>
    <w:sectPr w:rsidR="006A5DAC" w:rsidSect="006A5DAC">
      <w:headerReference w:type="default" r:id="rId8"/>
      <w:footerReference w:type="default" r:id="rId9"/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424" w:rsidRDefault="00826424" w:rsidP="006A5DAC">
      <w:r>
        <w:separator/>
      </w:r>
    </w:p>
  </w:endnote>
  <w:endnote w:type="continuationSeparator" w:id="1">
    <w:p w:rsidR="00826424" w:rsidRDefault="00826424" w:rsidP="006A5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4016"/>
      <w:docPartObj>
        <w:docPartGallery w:val="Page Numbers (Bottom of Page)"/>
        <w:docPartUnique/>
      </w:docPartObj>
    </w:sdtPr>
    <w:sdtContent>
      <w:p w:rsidR="004B43A1" w:rsidRDefault="004B43A1">
        <w:pPr>
          <w:pStyle w:val="Pieddepag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A5DAC" w:rsidRDefault="006A5DA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424" w:rsidRDefault="00826424" w:rsidP="006A5DAC">
      <w:r>
        <w:separator/>
      </w:r>
    </w:p>
  </w:footnote>
  <w:footnote w:type="continuationSeparator" w:id="1">
    <w:p w:rsidR="00826424" w:rsidRDefault="00826424" w:rsidP="006A5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DAC" w:rsidRDefault="00826424">
    <w:pPr>
      <w:shd w:val="clear" w:color="auto" w:fill="1A365D"/>
      <w:spacing w:before="60" w:after="60"/>
    </w:pPr>
    <w:r>
      <w:rPr>
        <w:rFonts w:eastAsia="Arial"/>
        <w:b/>
        <w:bCs/>
        <w:color w:val="FFFFFF"/>
        <w:sz w:val="16"/>
        <w:szCs w:val="16"/>
      </w:rPr>
      <w:t>LES ÉTOILES  |  IA &amp; Économie Circulaire</w:t>
    </w:r>
    <w:r>
      <w:rPr>
        <w:rFonts w:eastAsia="Arial"/>
        <w:sz w:val="16"/>
        <w:szCs w:val="16"/>
      </w:rPr>
      <w:t xml:space="preserve">                                                                                          </w:t>
    </w:r>
    <w:r>
      <w:rPr>
        <w:rFonts w:eastAsia="Arial"/>
        <w:color w:val="FFFFFF"/>
        <w:sz w:val="14"/>
        <w:szCs w:val="14"/>
      </w:rPr>
      <w:t>Programme de Formation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02C19"/>
    <w:multiLevelType w:val="hybridMultilevel"/>
    <w:tmpl w:val="E6C84E4C"/>
    <w:lvl w:ilvl="0" w:tplc="29EE1142">
      <w:start w:val="1"/>
      <w:numFmt w:val="bullet"/>
      <w:lvlText w:val="➢"/>
      <w:lvlJc w:val="left"/>
      <w:pPr>
        <w:ind w:left="360" w:hanging="240"/>
      </w:pPr>
    </w:lvl>
    <w:lvl w:ilvl="1" w:tplc="70BA095C">
      <w:numFmt w:val="decimal"/>
      <w:lvlText w:val=""/>
      <w:lvlJc w:val="left"/>
    </w:lvl>
    <w:lvl w:ilvl="2" w:tplc="5C3CFA7E">
      <w:numFmt w:val="decimal"/>
      <w:lvlText w:val=""/>
      <w:lvlJc w:val="left"/>
    </w:lvl>
    <w:lvl w:ilvl="3" w:tplc="57826978">
      <w:numFmt w:val="decimal"/>
      <w:lvlText w:val=""/>
      <w:lvlJc w:val="left"/>
    </w:lvl>
    <w:lvl w:ilvl="4" w:tplc="A86A8542">
      <w:numFmt w:val="decimal"/>
      <w:lvlText w:val=""/>
      <w:lvlJc w:val="left"/>
    </w:lvl>
    <w:lvl w:ilvl="5" w:tplc="963E4338">
      <w:numFmt w:val="decimal"/>
      <w:lvlText w:val=""/>
      <w:lvlJc w:val="left"/>
    </w:lvl>
    <w:lvl w:ilvl="6" w:tplc="306638A2">
      <w:numFmt w:val="decimal"/>
      <w:lvlText w:val=""/>
      <w:lvlJc w:val="left"/>
    </w:lvl>
    <w:lvl w:ilvl="7" w:tplc="FC6EB046">
      <w:numFmt w:val="decimal"/>
      <w:lvlText w:val=""/>
      <w:lvlJc w:val="left"/>
    </w:lvl>
    <w:lvl w:ilvl="8" w:tplc="ED80D3CC">
      <w:numFmt w:val="decimal"/>
      <w:lvlText w:val=""/>
      <w:lvlJc w:val="left"/>
    </w:lvl>
  </w:abstractNum>
  <w:abstractNum w:abstractNumId="1">
    <w:nsid w:val="3CF30620"/>
    <w:multiLevelType w:val="hybridMultilevel"/>
    <w:tmpl w:val="C080A0BE"/>
    <w:lvl w:ilvl="0" w:tplc="166CABB4">
      <w:start w:val="1"/>
      <w:numFmt w:val="bullet"/>
      <w:lvlText w:val="●"/>
      <w:lvlJc w:val="left"/>
      <w:pPr>
        <w:ind w:left="720" w:hanging="360"/>
      </w:pPr>
    </w:lvl>
    <w:lvl w:ilvl="1" w:tplc="A8C07226">
      <w:start w:val="1"/>
      <w:numFmt w:val="bullet"/>
      <w:lvlText w:val="○"/>
      <w:lvlJc w:val="left"/>
      <w:pPr>
        <w:ind w:left="1440" w:hanging="360"/>
      </w:pPr>
    </w:lvl>
    <w:lvl w:ilvl="2" w:tplc="A4F6257A">
      <w:start w:val="1"/>
      <w:numFmt w:val="bullet"/>
      <w:lvlText w:val="■"/>
      <w:lvlJc w:val="left"/>
      <w:pPr>
        <w:ind w:left="2160" w:hanging="360"/>
      </w:pPr>
    </w:lvl>
    <w:lvl w:ilvl="3" w:tplc="30662E44">
      <w:start w:val="1"/>
      <w:numFmt w:val="bullet"/>
      <w:lvlText w:val="●"/>
      <w:lvlJc w:val="left"/>
      <w:pPr>
        <w:ind w:left="2880" w:hanging="360"/>
      </w:pPr>
    </w:lvl>
    <w:lvl w:ilvl="4" w:tplc="66D6BDF6">
      <w:start w:val="1"/>
      <w:numFmt w:val="bullet"/>
      <w:lvlText w:val="○"/>
      <w:lvlJc w:val="left"/>
      <w:pPr>
        <w:ind w:left="3600" w:hanging="360"/>
      </w:pPr>
    </w:lvl>
    <w:lvl w:ilvl="5" w:tplc="251C0C9E">
      <w:start w:val="1"/>
      <w:numFmt w:val="bullet"/>
      <w:lvlText w:val="■"/>
      <w:lvlJc w:val="left"/>
      <w:pPr>
        <w:ind w:left="4320" w:hanging="360"/>
      </w:pPr>
    </w:lvl>
    <w:lvl w:ilvl="6" w:tplc="80D299F4">
      <w:start w:val="1"/>
      <w:numFmt w:val="bullet"/>
      <w:lvlText w:val="●"/>
      <w:lvlJc w:val="left"/>
      <w:pPr>
        <w:ind w:left="5040" w:hanging="360"/>
      </w:pPr>
    </w:lvl>
    <w:lvl w:ilvl="7" w:tplc="BD446936">
      <w:start w:val="1"/>
      <w:numFmt w:val="bullet"/>
      <w:lvlText w:val="●"/>
      <w:lvlJc w:val="left"/>
      <w:pPr>
        <w:ind w:left="5760" w:hanging="360"/>
      </w:pPr>
    </w:lvl>
    <w:lvl w:ilvl="8" w:tplc="B6009226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5C0C1455"/>
    <w:multiLevelType w:val="hybridMultilevel"/>
    <w:tmpl w:val="55227F04"/>
    <w:lvl w:ilvl="0" w:tplc="2D848702">
      <w:start w:val="1"/>
      <w:numFmt w:val="bullet"/>
      <w:lvlText w:val="–"/>
      <w:lvlJc w:val="left"/>
      <w:pPr>
        <w:ind w:left="420" w:hanging="240"/>
      </w:pPr>
    </w:lvl>
    <w:lvl w:ilvl="1" w:tplc="FCDC334C">
      <w:numFmt w:val="decimal"/>
      <w:lvlText w:val=""/>
      <w:lvlJc w:val="left"/>
    </w:lvl>
    <w:lvl w:ilvl="2" w:tplc="5D422FD4">
      <w:numFmt w:val="decimal"/>
      <w:lvlText w:val=""/>
      <w:lvlJc w:val="left"/>
    </w:lvl>
    <w:lvl w:ilvl="3" w:tplc="54E42F2C">
      <w:numFmt w:val="decimal"/>
      <w:lvlText w:val=""/>
      <w:lvlJc w:val="left"/>
    </w:lvl>
    <w:lvl w:ilvl="4" w:tplc="FFDA03D0">
      <w:numFmt w:val="decimal"/>
      <w:lvlText w:val=""/>
      <w:lvlJc w:val="left"/>
    </w:lvl>
    <w:lvl w:ilvl="5" w:tplc="B4188F54">
      <w:numFmt w:val="decimal"/>
      <w:lvlText w:val=""/>
      <w:lvlJc w:val="left"/>
    </w:lvl>
    <w:lvl w:ilvl="6" w:tplc="29E6D9B6">
      <w:numFmt w:val="decimal"/>
      <w:lvlText w:val=""/>
      <w:lvlJc w:val="left"/>
    </w:lvl>
    <w:lvl w:ilvl="7" w:tplc="C0620098">
      <w:numFmt w:val="decimal"/>
      <w:lvlText w:val=""/>
      <w:lvlJc w:val="left"/>
    </w:lvl>
    <w:lvl w:ilvl="8" w:tplc="FDCE8D92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5DAC"/>
    <w:rsid w:val="004B43A1"/>
    <w:rsid w:val="006A5DAC"/>
    <w:rsid w:val="007B4ADA"/>
    <w:rsid w:val="0082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18"/>
        <w:szCs w:val="18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sid w:val="006A5DAC"/>
    <w:rPr>
      <w:sz w:val="56"/>
      <w:szCs w:val="56"/>
    </w:rPr>
  </w:style>
  <w:style w:type="paragraph" w:customStyle="1" w:styleId="Heading1">
    <w:name w:val="Heading 1"/>
    <w:qFormat/>
    <w:rsid w:val="006A5DAC"/>
    <w:rPr>
      <w:color w:val="2E74B5"/>
      <w:sz w:val="32"/>
      <w:szCs w:val="32"/>
    </w:rPr>
  </w:style>
  <w:style w:type="paragraph" w:customStyle="1" w:styleId="Heading2">
    <w:name w:val="Heading 2"/>
    <w:qFormat/>
    <w:rsid w:val="006A5DAC"/>
    <w:rPr>
      <w:color w:val="2E74B5"/>
      <w:sz w:val="26"/>
      <w:szCs w:val="26"/>
    </w:rPr>
  </w:style>
  <w:style w:type="paragraph" w:customStyle="1" w:styleId="Heading3">
    <w:name w:val="Heading 3"/>
    <w:qFormat/>
    <w:rsid w:val="006A5DAC"/>
    <w:rPr>
      <w:color w:val="1F4D78"/>
      <w:sz w:val="24"/>
      <w:szCs w:val="24"/>
    </w:rPr>
  </w:style>
  <w:style w:type="paragraph" w:customStyle="1" w:styleId="Heading4">
    <w:name w:val="Heading 4"/>
    <w:qFormat/>
    <w:rsid w:val="006A5DAC"/>
    <w:rPr>
      <w:i/>
      <w:iCs/>
      <w:color w:val="2E74B5"/>
    </w:rPr>
  </w:style>
  <w:style w:type="paragraph" w:customStyle="1" w:styleId="Heading5">
    <w:name w:val="Heading 5"/>
    <w:qFormat/>
    <w:rsid w:val="006A5DAC"/>
    <w:rPr>
      <w:color w:val="2E74B5"/>
    </w:rPr>
  </w:style>
  <w:style w:type="paragraph" w:customStyle="1" w:styleId="Heading6">
    <w:name w:val="Heading 6"/>
    <w:qFormat/>
    <w:rsid w:val="006A5DAC"/>
    <w:rPr>
      <w:color w:val="1F4D78"/>
    </w:rPr>
  </w:style>
  <w:style w:type="paragraph" w:customStyle="1" w:styleId="lev1">
    <w:name w:val="Élevé1"/>
    <w:qFormat/>
    <w:rsid w:val="006A5DAC"/>
    <w:rPr>
      <w:b/>
      <w:bCs/>
    </w:rPr>
  </w:style>
  <w:style w:type="paragraph" w:styleId="Paragraphedeliste">
    <w:name w:val="List Paragraph"/>
    <w:qFormat/>
    <w:rsid w:val="006A5DAC"/>
  </w:style>
  <w:style w:type="character" w:styleId="Lienhypertexte">
    <w:name w:val="Hyperlink"/>
    <w:uiPriority w:val="99"/>
    <w:unhideWhenUsed/>
    <w:rsid w:val="006A5DAC"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sid w:val="006A5DAC"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sid w:val="006A5DAC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sid w:val="006A5DAC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6A5DAC"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sid w:val="006A5DAC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sid w:val="006A5DAC"/>
    <w:rPr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4B4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B43A1"/>
  </w:style>
  <w:style w:type="paragraph" w:styleId="Pieddepage">
    <w:name w:val="footer"/>
    <w:basedOn w:val="Normal"/>
    <w:link w:val="PieddepageCar"/>
    <w:uiPriority w:val="99"/>
    <w:unhideWhenUsed/>
    <w:rsid w:val="004B4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43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29139-1D76-44BA-9154-AB28928B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1308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Valerie ZHANG</cp:lastModifiedBy>
  <cp:revision>3</cp:revision>
  <dcterms:created xsi:type="dcterms:W3CDTF">2026-07-23T23:45:00Z</dcterms:created>
  <dcterms:modified xsi:type="dcterms:W3CDTF">2026-07-23T23:47:00Z</dcterms:modified>
</cp:coreProperties>
</file>